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E77A" w14:textId="06A51FB9" w:rsidR="00623C11" w:rsidRPr="000E2750" w:rsidRDefault="008C0F43" w:rsidP="000E2750">
      <w:r>
        <w:br/>
      </w:r>
      <w:r w:rsidRPr="008C0F43">
        <w:rPr>
          <w:b/>
          <w:bCs/>
          <w:sz w:val="28"/>
          <w:szCs w:val="28"/>
        </w:rPr>
        <w:t>Study 198</w:t>
      </w:r>
      <w:r>
        <w:br/>
      </w:r>
      <w:r>
        <w:t>D'Andrea E, Hey SP, Ramirez CL, Kesselheim AS. Assessment of the Role of Niacin in Managing Cardiovascular Disease Outcomes: A Systematic Review and Meta-analysis. </w:t>
      </w:r>
      <w:r>
        <w:rPr>
          <w:rFonts w:ascii="BlinkMacSystemFont" w:hAnsi="BlinkMacSystemFont"/>
          <w:i/>
          <w:iCs/>
          <w:color w:val="212121"/>
          <w:shd w:val="clear" w:color="auto" w:fill="FFFFFF"/>
        </w:rPr>
        <w:t xml:space="preserve">JAMA </w:t>
      </w:r>
      <w:proofErr w:type="spellStart"/>
      <w:r>
        <w:rPr>
          <w:rFonts w:ascii="BlinkMacSystemFont" w:hAnsi="BlinkMacSystemFont"/>
          <w:i/>
          <w:iCs/>
          <w:color w:val="212121"/>
          <w:shd w:val="clear" w:color="auto" w:fill="FFFFFF"/>
        </w:rPr>
        <w:t>Netw</w:t>
      </w:r>
      <w:proofErr w:type="spellEnd"/>
      <w:r>
        <w:rPr>
          <w:rFonts w:ascii="BlinkMacSystemFont" w:hAnsi="BlinkMacSystemFont"/>
          <w:i/>
          <w:iCs/>
          <w:color w:val="212121"/>
          <w:shd w:val="clear" w:color="auto" w:fill="FFFFFF"/>
        </w:rPr>
        <w:t xml:space="preserve"> Open</w:t>
      </w:r>
      <w:r>
        <w:t>. 2019;2(4</w:t>
      </w:r>
      <w:proofErr w:type="gramStart"/>
      <w:r>
        <w:t>):e</w:t>
      </w:r>
      <w:proofErr w:type="gramEnd"/>
      <w:r>
        <w:t>192224. Published 2019 Apr 5. doi:10.1001/jamanetworkopen.2019.2224</w:t>
      </w:r>
      <w:r>
        <w:br/>
      </w:r>
      <w:r>
        <w:br/>
      </w:r>
      <w:r>
        <w:rPr>
          <w:b/>
          <w:bCs/>
        </w:rPr>
        <w:t>Funding:</w:t>
      </w:r>
      <w:r>
        <w:t xml:space="preserve"> Non-profit, Laura and John Foundation.</w:t>
      </w:r>
      <w:r>
        <w:br/>
        <w:t>Amendments: None.</w:t>
      </w:r>
      <w:r>
        <w:br/>
      </w:r>
      <w:r>
        <w:br/>
      </w:r>
      <w:r w:rsidRPr="008C0F43">
        <w:rPr>
          <w:b/>
          <w:bCs/>
          <w:sz w:val="28"/>
          <w:szCs w:val="28"/>
        </w:rPr>
        <w:t>Study 199</w:t>
      </w:r>
      <w:r>
        <w:br/>
      </w:r>
      <w:r>
        <w:t>Garg A, Sharma A, Krishnamoorthy P, et al. Role of Niacin in Current Clinical Practice: A Systematic Review. </w:t>
      </w:r>
      <w:r>
        <w:rPr>
          <w:rFonts w:ascii="BlinkMacSystemFont" w:hAnsi="BlinkMacSystemFont"/>
          <w:i/>
          <w:iCs/>
          <w:color w:val="212121"/>
          <w:shd w:val="clear" w:color="auto" w:fill="FFFFFF"/>
        </w:rPr>
        <w:t>Am J Med</w:t>
      </w:r>
      <w:r>
        <w:t xml:space="preserve">. 2017;130(2):173-187. </w:t>
      </w:r>
      <w:proofErr w:type="gramStart"/>
      <w:r>
        <w:t>doi:10.1016/j.amjmed</w:t>
      </w:r>
      <w:proofErr w:type="gramEnd"/>
      <w:r>
        <w:t>.2016.07.038</w:t>
      </w:r>
      <w:r>
        <w:br/>
      </w:r>
      <w:r>
        <w:br/>
      </w:r>
      <w:r>
        <w:rPr>
          <w:b/>
          <w:bCs/>
        </w:rPr>
        <w:t>Funding:</w:t>
      </w:r>
      <w:r>
        <w:t xml:space="preserve"> None. No Conflicts of Interest.</w:t>
      </w:r>
      <w:r>
        <w:br/>
      </w:r>
      <w:r w:rsidRPr="008C0F43">
        <w:rPr>
          <w:b/>
          <w:bCs/>
        </w:rPr>
        <w:t>Amendments:</w:t>
      </w:r>
      <w:r>
        <w:t xml:space="preserve"> None.</w:t>
      </w:r>
      <w:r>
        <w:br/>
      </w:r>
      <w:r>
        <w:br/>
      </w:r>
      <w:r>
        <w:br/>
      </w:r>
      <w:r w:rsidRPr="008C0F43">
        <w:rPr>
          <w:b/>
          <w:bCs/>
          <w:sz w:val="28"/>
          <w:szCs w:val="28"/>
        </w:rPr>
        <w:t>Study 200</w:t>
      </w:r>
      <w:r>
        <w:br/>
      </w:r>
      <w:proofErr w:type="spellStart"/>
      <w:r>
        <w:t>Schandelmaier</w:t>
      </w:r>
      <w:proofErr w:type="spellEnd"/>
      <w:r>
        <w:t xml:space="preserve"> S, Briel M, </w:t>
      </w:r>
      <w:proofErr w:type="spellStart"/>
      <w:r>
        <w:t>Saccilotto</w:t>
      </w:r>
      <w:proofErr w:type="spellEnd"/>
      <w:r>
        <w:t xml:space="preserve"> R, et al. Niacin for primary and secondary prevention of cardiovascular events. </w:t>
      </w:r>
      <w:r>
        <w:rPr>
          <w:rFonts w:ascii="Roboto" w:hAnsi="Roboto"/>
          <w:i/>
          <w:iCs/>
          <w:color w:val="212121"/>
          <w:sz w:val="26"/>
          <w:szCs w:val="26"/>
          <w:shd w:val="clear" w:color="auto" w:fill="FFFFFF"/>
        </w:rPr>
        <w:t>Cochrane Database Syst Rev</w:t>
      </w:r>
      <w:r>
        <w:t xml:space="preserve">. 2017;6(6):CD009744. Published 2017 Jun 14. </w:t>
      </w:r>
      <w:proofErr w:type="gramStart"/>
      <w:r>
        <w:t>doi:10.1002/14651858.CD009744.pub2</w:t>
      </w:r>
      <w:proofErr w:type="gramEnd"/>
      <w:r>
        <w:br/>
      </w:r>
      <w:r>
        <w:br/>
      </w:r>
      <w:r>
        <w:rPr>
          <w:b/>
          <w:bCs/>
        </w:rPr>
        <w:t>Funding:</w:t>
      </w:r>
      <w:r>
        <w:t xml:space="preserve"> Public - National Institute of Health</w:t>
      </w:r>
      <w:r>
        <w:br/>
      </w:r>
      <w:r w:rsidRPr="008C0F43">
        <w:rPr>
          <w:b/>
          <w:bCs/>
        </w:rPr>
        <w:t>Amendments:</w:t>
      </w:r>
      <w:r>
        <w:t xml:space="preserve"> None. </w:t>
      </w:r>
      <w:r>
        <w:br/>
      </w:r>
      <w:r>
        <w:br/>
      </w:r>
      <w:r w:rsidRPr="008C0F43">
        <w:rPr>
          <w:b/>
          <w:bCs/>
          <w:sz w:val="28"/>
          <w:szCs w:val="28"/>
        </w:rPr>
        <w:t>Study 201</w:t>
      </w:r>
      <w:r>
        <w:br/>
      </w:r>
      <w:proofErr w:type="spellStart"/>
      <w:r>
        <w:t>Superko</w:t>
      </w:r>
      <w:proofErr w:type="spellEnd"/>
      <w:r>
        <w:t xml:space="preserve"> HR, Zhao XQ, </w:t>
      </w:r>
      <w:proofErr w:type="spellStart"/>
      <w:r>
        <w:t>Hodis</w:t>
      </w:r>
      <w:proofErr w:type="spellEnd"/>
      <w:r>
        <w:t xml:space="preserve"> HN, Guyton JR. Niacin and heart disease prevention: Engraving its tombstone is a mistake. </w:t>
      </w:r>
      <w:r>
        <w:rPr>
          <w:rFonts w:ascii="BlinkMacSystemFont" w:hAnsi="BlinkMacSystemFont"/>
          <w:i/>
          <w:iCs/>
          <w:color w:val="212121"/>
          <w:shd w:val="clear" w:color="auto" w:fill="FFFFFF"/>
        </w:rPr>
        <w:t xml:space="preserve">J Clin </w:t>
      </w:r>
      <w:proofErr w:type="spellStart"/>
      <w:r>
        <w:rPr>
          <w:rFonts w:ascii="BlinkMacSystemFont" w:hAnsi="BlinkMacSystemFont"/>
          <w:i/>
          <w:iCs/>
          <w:color w:val="212121"/>
          <w:shd w:val="clear" w:color="auto" w:fill="FFFFFF"/>
        </w:rPr>
        <w:t>Lipidol</w:t>
      </w:r>
      <w:proofErr w:type="spellEnd"/>
      <w:r>
        <w:t xml:space="preserve">. 2017;11(6):1309-1317. </w:t>
      </w:r>
      <w:proofErr w:type="gramStart"/>
      <w:r>
        <w:t>doi:10.1016/j.jacl</w:t>
      </w:r>
      <w:proofErr w:type="gramEnd"/>
      <w:r>
        <w:t>.2017.08.005</w:t>
      </w:r>
      <w:r>
        <w:br/>
      </w:r>
      <w:r>
        <w:br/>
      </w:r>
      <w:r>
        <w:rPr>
          <w:b/>
          <w:bCs/>
        </w:rPr>
        <w:t>Funding:</w:t>
      </w:r>
      <w:r>
        <w:t xml:space="preserve"> None. Some researchers have received funding from pharma in the past - some have no conflicts.</w:t>
      </w:r>
      <w:r>
        <w:br/>
      </w:r>
      <w:r w:rsidRPr="008C0F43">
        <w:rPr>
          <w:b/>
          <w:bCs/>
        </w:rPr>
        <w:t>Amendments:</w:t>
      </w:r>
      <w:r>
        <w:t xml:space="preserve"> None. </w:t>
      </w:r>
      <w:r>
        <w:br/>
      </w:r>
      <w:r>
        <w:br/>
      </w:r>
      <w:r>
        <w:br/>
      </w:r>
    </w:p>
    <w:sectPr w:rsidR="00623C11" w:rsidRPr="000E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nkMacSystemFont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24994"/>
    <w:multiLevelType w:val="hybridMultilevel"/>
    <w:tmpl w:val="36E42A1E"/>
    <w:lvl w:ilvl="0" w:tplc="A4CCB9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7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11"/>
    <w:rsid w:val="00084E2A"/>
    <w:rsid w:val="000E2750"/>
    <w:rsid w:val="00101D74"/>
    <w:rsid w:val="0055487C"/>
    <w:rsid w:val="00623C11"/>
    <w:rsid w:val="008C0F43"/>
    <w:rsid w:val="00BD2259"/>
    <w:rsid w:val="00E0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7B72"/>
  <w15:chartTrackingRefBased/>
  <w15:docId w15:val="{86E35DAB-9DA0-49FF-B5EB-AE1D936A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V</dc:creator>
  <cp:keywords/>
  <dc:description/>
  <cp:lastModifiedBy>NIC V</cp:lastModifiedBy>
  <cp:revision>2</cp:revision>
  <dcterms:created xsi:type="dcterms:W3CDTF">2023-09-12T12:18:00Z</dcterms:created>
  <dcterms:modified xsi:type="dcterms:W3CDTF">2023-09-12T21:56:00Z</dcterms:modified>
</cp:coreProperties>
</file>